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2B1" w:rsidRDefault="00D302B1">
      <w:pPr>
        <w:widowControl w:val="0"/>
        <w:spacing w:after="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7500"/>
      </w:tblGrid>
      <w:tr w:rsidR="00D302B1" w:rsidTr="00B13664">
        <w:trPr>
          <w:trHeight w:val="863"/>
        </w:trPr>
        <w:tc>
          <w:tcPr>
            <w:tcW w:w="1850" w:type="dxa"/>
          </w:tcPr>
          <w:p w:rsidR="00D302B1" w:rsidRPr="00B13664" w:rsidRDefault="00CC260C" w:rsidP="00A33559">
            <w:pPr>
              <w:spacing w:before="120" w:after="120"/>
              <w:ind w:left="-18" w:firstLine="18"/>
            </w:pPr>
            <w:r w:rsidRPr="00B13664">
              <w:rPr>
                <w:rFonts w:ascii="Arial" w:eastAsia="Arial" w:hAnsi="Arial" w:cs="Arial"/>
                <w:b/>
              </w:rPr>
              <w:t xml:space="preserve">Title </w:t>
            </w:r>
          </w:p>
        </w:tc>
        <w:tc>
          <w:tcPr>
            <w:tcW w:w="7500" w:type="dxa"/>
          </w:tcPr>
          <w:p w:rsidR="00D302B1" w:rsidRPr="00B13664" w:rsidRDefault="00141069" w:rsidP="00A33559">
            <w:pPr>
              <w:pStyle w:val="Heading2"/>
              <w:spacing w:before="0" w:after="0"/>
              <w:rPr>
                <w:rFonts w:asciiTheme="minorHAnsi" w:hAnsiTheme="minorHAnsi" w:cs="Arial"/>
                <w:sz w:val="28"/>
                <w:szCs w:val="28"/>
              </w:rPr>
            </w:pPr>
            <w:r w:rsidRPr="00004D8D">
              <w:rPr>
                <w:rFonts w:asciiTheme="minorHAnsi" w:hAnsiTheme="minorHAnsi" w:cs="Arial"/>
                <w:sz w:val="28"/>
                <w:szCs w:val="28"/>
              </w:rPr>
              <w:t>D</w:t>
            </w:r>
            <w:r w:rsidR="00004D8D" w:rsidRPr="00004D8D">
              <w:rPr>
                <w:rFonts w:asciiTheme="minorHAnsi" w:hAnsiTheme="minorHAnsi" w:cs="Arial"/>
                <w:sz w:val="28"/>
                <w:szCs w:val="28"/>
              </w:rPr>
              <w:t>inner Party</w:t>
            </w:r>
            <w:r w:rsidRPr="00004D8D">
              <w:rPr>
                <w:rFonts w:asciiTheme="minorHAnsi" w:hAnsiTheme="minorHAnsi" w:cs="Arial"/>
                <w:sz w:val="28"/>
                <w:szCs w:val="28"/>
              </w:rPr>
              <w:t>:  Using patte</w:t>
            </w:r>
            <w:r w:rsidR="00004D8D">
              <w:rPr>
                <w:rFonts w:asciiTheme="minorHAnsi" w:hAnsiTheme="minorHAnsi" w:cs="Arial"/>
                <w:sz w:val="28"/>
                <w:szCs w:val="28"/>
              </w:rPr>
              <w:t xml:space="preserve">rn trains to demonstrate linear </w:t>
            </w:r>
            <w:r w:rsidRPr="00004D8D">
              <w:rPr>
                <w:rFonts w:asciiTheme="minorHAnsi" w:hAnsiTheme="minorHAnsi" w:cs="Arial"/>
                <w:sz w:val="28"/>
                <w:szCs w:val="28"/>
              </w:rPr>
              <w:t>functions</w:t>
            </w:r>
          </w:p>
        </w:tc>
      </w:tr>
      <w:tr w:rsidR="00D302B1" w:rsidTr="00004D8D">
        <w:tc>
          <w:tcPr>
            <w:tcW w:w="1850" w:type="dxa"/>
          </w:tcPr>
          <w:p w:rsidR="00D302B1" w:rsidRPr="00317991" w:rsidRDefault="00CC260C" w:rsidP="00A33559">
            <w:pPr>
              <w:spacing w:before="120" w:after="120"/>
              <w:rPr>
                <w:rFonts w:ascii="Arial" w:hAnsi="Arial" w:cs="Arial"/>
              </w:rPr>
            </w:pPr>
            <w:r w:rsidRPr="00317991">
              <w:rPr>
                <w:rFonts w:ascii="Arial" w:eastAsia="Arial" w:hAnsi="Arial" w:cs="Arial"/>
                <w:b/>
              </w:rPr>
              <w:t xml:space="preserve">Introduction </w:t>
            </w:r>
          </w:p>
          <w:p w:rsidR="00D302B1" w:rsidRPr="00317991" w:rsidRDefault="00D302B1" w:rsidP="00A33559">
            <w:pPr>
              <w:spacing w:before="120" w:after="120"/>
              <w:rPr>
                <w:rFonts w:ascii="Arial" w:hAnsi="Arial" w:cs="Arial"/>
              </w:rPr>
            </w:pPr>
          </w:p>
        </w:tc>
        <w:tc>
          <w:tcPr>
            <w:tcW w:w="7500" w:type="dxa"/>
          </w:tcPr>
          <w:p w:rsidR="00D302B1" w:rsidRPr="00317991" w:rsidRDefault="00141069" w:rsidP="00A33559">
            <w:pPr>
              <w:pStyle w:val="NormalWeb"/>
              <w:rPr>
                <w:rFonts w:ascii="Arial" w:hAnsi="Arial" w:cs="Arial"/>
                <w:sz w:val="20"/>
                <w:szCs w:val="20"/>
              </w:rPr>
            </w:pPr>
            <w:r w:rsidRPr="00317991">
              <w:rPr>
                <w:rFonts w:ascii="Arial" w:hAnsi="Arial" w:cs="Arial"/>
                <w:sz w:val="20"/>
                <w:szCs w:val="20"/>
              </w:rPr>
              <w:t>The purpose of this lesson plan is to give students a real life application of how to recognize and use a linear function.  Too often, the experience of learning linear functions is relegated to memorizing an algorithm with little attachment to anything concrete.  This abstract learning experience, disconnected from anything tangible or real, relies solely on the ability of the student to memorize the steps to solve the problem.  Most struggling math learners lack the ability to retain information, unless it is connected to a concrete model or real life experience.  By participating in the exploration in this lesson, students will design a linear function without realizing it!  This lesson will help demystify this abstract content.</w:t>
            </w:r>
          </w:p>
          <w:p w:rsidR="00141069" w:rsidRPr="00317991" w:rsidRDefault="00141069" w:rsidP="00A33559">
            <w:pPr>
              <w:pStyle w:val="NormalWeb"/>
              <w:rPr>
                <w:rFonts w:ascii="Arial" w:hAnsi="Arial" w:cs="Arial"/>
                <w:sz w:val="20"/>
                <w:szCs w:val="20"/>
              </w:rPr>
            </w:pP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t xml:space="preserve">Curriculum Alignment </w:t>
            </w:r>
          </w:p>
        </w:tc>
        <w:tc>
          <w:tcPr>
            <w:tcW w:w="7500" w:type="dxa"/>
          </w:tcPr>
          <w:p w:rsidR="00004D8D" w:rsidRPr="00317991" w:rsidRDefault="00004D8D" w:rsidP="00A33559">
            <w:pPr>
              <w:pStyle w:val="NormalWeb"/>
              <w:rPr>
                <w:rFonts w:ascii="Arial" w:hAnsi="Arial" w:cs="Arial"/>
                <w:sz w:val="20"/>
                <w:szCs w:val="20"/>
              </w:rPr>
            </w:pPr>
            <w:r w:rsidRPr="00317991">
              <w:rPr>
                <w:rFonts w:ascii="Arial" w:hAnsi="Arial" w:cs="Arial"/>
                <w:sz w:val="20"/>
                <w:szCs w:val="20"/>
              </w:rPr>
              <w:t>Algebra I NC SCOS Goal 4:</w:t>
            </w:r>
          </w:p>
          <w:p w:rsidR="00004D8D" w:rsidRPr="00317991" w:rsidRDefault="00004D8D" w:rsidP="00A33559">
            <w:pPr>
              <w:pStyle w:val="NormalWeb"/>
              <w:spacing w:before="0" w:beforeAutospacing="0" w:after="0" w:afterAutospacing="0"/>
              <w:rPr>
                <w:rFonts w:ascii="Arial" w:hAnsi="Arial" w:cs="Arial"/>
                <w:sz w:val="20"/>
                <w:szCs w:val="20"/>
              </w:rPr>
            </w:pPr>
            <w:r w:rsidRPr="00317991">
              <w:rPr>
                <w:rStyle w:val="Strong"/>
                <w:rFonts w:ascii="Arial" w:hAnsi="Arial" w:cs="Arial"/>
                <w:sz w:val="20"/>
                <w:szCs w:val="20"/>
              </w:rPr>
              <w:t>4.01</w:t>
            </w:r>
            <w:r w:rsidRPr="00317991">
              <w:rPr>
                <w:rStyle w:val="apple-converted-space"/>
                <w:rFonts w:ascii="Arial" w:hAnsi="Arial" w:cs="Arial"/>
                <w:sz w:val="20"/>
                <w:szCs w:val="20"/>
              </w:rPr>
              <w:t> </w:t>
            </w:r>
            <w:r w:rsidRPr="00317991">
              <w:rPr>
                <w:rFonts w:ascii="Arial" w:hAnsi="Arial" w:cs="Arial"/>
                <w:sz w:val="20"/>
                <w:szCs w:val="20"/>
              </w:rPr>
              <w:t>Use linear functions or inequalities to model and solve problems; justify results.</w:t>
            </w:r>
          </w:p>
          <w:p w:rsidR="00004D8D" w:rsidRPr="00317991" w:rsidRDefault="00004D8D" w:rsidP="00A33559">
            <w:pPr>
              <w:numPr>
                <w:ilvl w:val="0"/>
                <w:numId w:val="16"/>
              </w:numPr>
              <w:spacing w:before="100" w:beforeAutospacing="1" w:after="100" w:afterAutospacing="1"/>
              <w:rPr>
                <w:rFonts w:ascii="Arial" w:hAnsi="Arial" w:cs="Arial"/>
              </w:rPr>
            </w:pPr>
            <w:r w:rsidRPr="00317991">
              <w:rPr>
                <w:rFonts w:ascii="Arial" w:hAnsi="Arial" w:cs="Arial"/>
              </w:rPr>
              <w:t>Solve using tables, graphs, and algebraic properties.</w:t>
            </w:r>
          </w:p>
          <w:p w:rsidR="00004D8D" w:rsidRPr="00317991" w:rsidRDefault="00004D8D" w:rsidP="00A33559">
            <w:pPr>
              <w:numPr>
                <w:ilvl w:val="0"/>
                <w:numId w:val="16"/>
              </w:numPr>
              <w:spacing w:before="100" w:beforeAutospacing="1" w:after="100" w:afterAutospacing="1"/>
              <w:rPr>
                <w:rFonts w:ascii="Arial" w:hAnsi="Arial" w:cs="Arial"/>
              </w:rPr>
            </w:pPr>
            <w:r w:rsidRPr="00317991">
              <w:rPr>
                <w:rFonts w:ascii="Arial" w:hAnsi="Arial" w:cs="Arial"/>
              </w:rPr>
              <w:t>Interpret constants and coefficients in the context of the problem.</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Common Core High School Algebra I:</w:t>
            </w:r>
            <w:bookmarkStart w:id="0" w:name="_GoBack"/>
            <w:bookmarkEnd w:id="0"/>
          </w:p>
          <w:p w:rsidR="00004D8D" w:rsidRPr="00317991" w:rsidRDefault="00004D8D" w:rsidP="00A33559">
            <w:pPr>
              <w:pStyle w:val="NormalWeb"/>
              <w:ind w:left="720" w:hanging="720"/>
              <w:rPr>
                <w:rFonts w:ascii="Arial" w:hAnsi="Arial" w:cs="Arial"/>
                <w:sz w:val="20"/>
                <w:szCs w:val="20"/>
              </w:rPr>
            </w:pPr>
            <w:r w:rsidRPr="00317991">
              <w:rPr>
                <w:rFonts w:ascii="Arial" w:hAnsi="Arial" w:cs="Arial"/>
                <w:sz w:val="20"/>
                <w:szCs w:val="20"/>
              </w:rPr>
              <w:t xml:space="preserve">F.IF.3 </w:t>
            </w:r>
            <w:r w:rsidRPr="00317991">
              <w:rPr>
                <w:rFonts w:ascii="Arial" w:hAnsi="Arial" w:cs="Arial"/>
                <w:sz w:val="20"/>
                <w:szCs w:val="20"/>
              </w:rPr>
              <w:tab/>
              <w:t>Recognize that sequences are functions, sometimes defined recursively, whose domain is a subset of the integers.</w:t>
            </w:r>
          </w:p>
          <w:p w:rsidR="00004D8D" w:rsidRPr="00317991" w:rsidRDefault="00004D8D" w:rsidP="00A33559">
            <w:pPr>
              <w:pStyle w:val="NormalWeb"/>
              <w:ind w:left="720" w:hanging="720"/>
              <w:rPr>
                <w:rFonts w:ascii="Arial" w:hAnsi="Arial" w:cs="Arial"/>
                <w:sz w:val="20"/>
                <w:szCs w:val="20"/>
              </w:rPr>
            </w:pPr>
            <w:proofErr w:type="gramStart"/>
            <w:r w:rsidRPr="00317991">
              <w:rPr>
                <w:rFonts w:ascii="Arial" w:hAnsi="Arial" w:cs="Arial"/>
                <w:sz w:val="20"/>
                <w:szCs w:val="20"/>
              </w:rPr>
              <w:t>F.IF.4  For</w:t>
            </w:r>
            <w:proofErr w:type="gramEnd"/>
            <w:r w:rsidRPr="00317991">
              <w:rPr>
                <w:rFonts w:ascii="Arial" w:hAnsi="Arial" w:cs="Arial"/>
                <w:sz w:val="20"/>
                <w:szCs w:val="20"/>
              </w:rPr>
              <w:t xml:space="preserve"> a function that models a relationship between two quantities, interpret key features of graphs and tables in terms of the quantities, and sketch graphs showing key features given a verbal description of the relationship.</w:t>
            </w:r>
          </w:p>
          <w:p w:rsidR="00004D8D" w:rsidRPr="00317991" w:rsidRDefault="00004D8D" w:rsidP="00A33559">
            <w:pPr>
              <w:pStyle w:val="NormalWeb"/>
              <w:ind w:left="720" w:hanging="720"/>
              <w:rPr>
                <w:rFonts w:ascii="Arial" w:hAnsi="Arial" w:cs="Arial"/>
                <w:sz w:val="20"/>
                <w:szCs w:val="20"/>
              </w:rPr>
            </w:pPr>
            <w:r w:rsidRPr="00317991">
              <w:rPr>
                <w:rFonts w:ascii="Arial" w:hAnsi="Arial" w:cs="Arial"/>
                <w:sz w:val="20"/>
                <w:szCs w:val="20"/>
              </w:rPr>
              <w:t>F.BF.1</w:t>
            </w:r>
            <w:r w:rsidRPr="00317991">
              <w:rPr>
                <w:rFonts w:ascii="Arial" w:hAnsi="Arial" w:cs="Arial"/>
                <w:sz w:val="20"/>
                <w:szCs w:val="20"/>
              </w:rPr>
              <w:tab/>
              <w:t xml:space="preserve">Write a function that describes a relationship between two quantities.  </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This lesson aligns with the Common Core Standards for Practice 4:  Model with mathematics.</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 xml:space="preserve">National </w:t>
            </w:r>
            <w:proofErr w:type="spellStart"/>
            <w:r w:rsidRPr="00317991">
              <w:rPr>
                <w:rFonts w:ascii="Arial" w:hAnsi="Arial" w:cs="Arial"/>
                <w:sz w:val="20"/>
                <w:szCs w:val="20"/>
              </w:rPr>
              <w:t>Coucil</w:t>
            </w:r>
            <w:proofErr w:type="spellEnd"/>
            <w:r w:rsidRPr="00317991">
              <w:rPr>
                <w:rFonts w:ascii="Arial" w:hAnsi="Arial" w:cs="Arial"/>
                <w:sz w:val="20"/>
                <w:szCs w:val="20"/>
              </w:rPr>
              <w:t xml:space="preserve"> for Teachers of Mathematics Math Standards for Algebra:</w:t>
            </w:r>
          </w:p>
          <w:p w:rsidR="00004D8D" w:rsidRPr="00317991" w:rsidRDefault="00004D8D" w:rsidP="00A33559">
            <w:pPr>
              <w:pStyle w:val="NormalWeb"/>
              <w:shd w:val="clear" w:color="auto" w:fill="FFFFFF"/>
              <w:rPr>
                <w:rFonts w:ascii="Arial" w:hAnsi="Arial" w:cs="Arial"/>
                <w:color w:val="333333"/>
                <w:sz w:val="20"/>
                <w:szCs w:val="20"/>
              </w:rPr>
            </w:pPr>
            <w:r w:rsidRPr="00317991">
              <w:rPr>
                <w:rStyle w:val="Strong"/>
                <w:rFonts w:ascii="Arial" w:hAnsi="Arial" w:cs="Arial"/>
                <w:color w:val="00335B"/>
                <w:sz w:val="20"/>
                <w:szCs w:val="20"/>
              </w:rPr>
              <w:t>Grades 9–12 Expectations</w:t>
            </w:r>
            <w:r w:rsidRPr="00317991">
              <w:rPr>
                <w:rFonts w:ascii="Arial" w:hAnsi="Arial" w:cs="Arial"/>
                <w:color w:val="333333"/>
                <w:sz w:val="20"/>
                <w:szCs w:val="20"/>
              </w:rPr>
              <w:t>: In grades 9–12 all students should–</w:t>
            </w:r>
          </w:p>
          <w:p w:rsidR="00004D8D" w:rsidRPr="00317991" w:rsidRDefault="00004D8D" w:rsidP="00A33559">
            <w:pPr>
              <w:numPr>
                <w:ilvl w:val="0"/>
                <w:numId w:val="17"/>
              </w:numPr>
              <w:shd w:val="clear" w:color="auto" w:fill="FFFFFF"/>
              <w:spacing w:before="100" w:beforeAutospacing="1" w:after="210"/>
              <w:rPr>
                <w:rFonts w:ascii="Arial" w:hAnsi="Arial" w:cs="Arial"/>
                <w:color w:val="333333"/>
              </w:rPr>
            </w:pPr>
            <w:r w:rsidRPr="00317991">
              <w:rPr>
                <w:rFonts w:ascii="Arial" w:hAnsi="Arial" w:cs="Arial"/>
                <w:color w:val="333333"/>
              </w:rPr>
              <w:t>generalize patterns using explicitly defined and recursively defined functions;</w:t>
            </w:r>
          </w:p>
          <w:p w:rsidR="00004D8D" w:rsidRPr="00317991" w:rsidRDefault="00004D8D" w:rsidP="00A33559">
            <w:pPr>
              <w:numPr>
                <w:ilvl w:val="0"/>
                <w:numId w:val="17"/>
              </w:numPr>
              <w:shd w:val="clear" w:color="auto" w:fill="FFFFFF"/>
              <w:spacing w:before="100" w:beforeAutospacing="1" w:after="210"/>
              <w:rPr>
                <w:rFonts w:ascii="Arial" w:hAnsi="Arial" w:cs="Arial"/>
                <w:color w:val="333333"/>
              </w:rPr>
            </w:pPr>
            <w:r w:rsidRPr="00317991">
              <w:rPr>
                <w:rFonts w:ascii="Arial" w:hAnsi="Arial" w:cs="Arial"/>
                <w:color w:val="333333"/>
              </w:rPr>
              <w:t xml:space="preserve">understand relations and functions and select, convert flexibly among, </w:t>
            </w:r>
            <w:r w:rsidRPr="00317991">
              <w:rPr>
                <w:rFonts w:ascii="Arial" w:hAnsi="Arial" w:cs="Arial"/>
                <w:color w:val="333333"/>
              </w:rPr>
              <w:lastRenderedPageBreak/>
              <w:t>and use various representations for them</w:t>
            </w:r>
          </w:p>
          <w:p w:rsidR="00004D8D" w:rsidRPr="00317991" w:rsidRDefault="00004D8D" w:rsidP="00A33559">
            <w:pPr>
              <w:shd w:val="clear" w:color="auto" w:fill="FFFFFF"/>
              <w:spacing w:before="100" w:beforeAutospacing="1" w:after="210"/>
              <w:rPr>
                <w:rFonts w:ascii="Arial" w:hAnsi="Arial" w:cs="Arial"/>
                <w:color w:val="333333"/>
              </w:rPr>
            </w:pPr>
            <w:r w:rsidRPr="00317991">
              <w:rPr>
                <w:rFonts w:ascii="Arial" w:hAnsi="Arial" w:cs="Arial"/>
                <w:color w:val="333333"/>
              </w:rPr>
              <w:t>There is an implied connection between algebra and geometry in this lesson.  The students will develop an algebraic function using geometric shapes.</w:t>
            </w:r>
          </w:p>
          <w:p w:rsidR="00004D8D" w:rsidRPr="00317991" w:rsidRDefault="00004D8D" w:rsidP="00A33559">
            <w:pPr>
              <w:shd w:val="clear" w:color="auto" w:fill="FFFFFF"/>
              <w:spacing w:before="100" w:beforeAutospacing="1" w:after="210"/>
              <w:rPr>
                <w:rFonts w:ascii="Arial" w:hAnsi="Arial" w:cs="Arial"/>
              </w:rPr>
            </w:pP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lastRenderedPageBreak/>
              <w:t xml:space="preserve">Learning Outcomes </w:t>
            </w:r>
          </w:p>
        </w:tc>
        <w:tc>
          <w:tcPr>
            <w:tcW w:w="7500" w:type="dxa"/>
          </w:tcPr>
          <w:p w:rsidR="00004D8D" w:rsidRPr="00317991" w:rsidRDefault="00004D8D" w:rsidP="00A33559">
            <w:pPr>
              <w:pStyle w:val="Heading2"/>
              <w:numPr>
                <w:ilvl w:val="0"/>
                <w:numId w:val="15"/>
              </w:numPr>
              <w:outlineLvl w:val="1"/>
              <w:rPr>
                <w:rFonts w:ascii="Arial" w:hAnsi="Arial" w:cs="Arial"/>
                <w:b w:val="0"/>
                <w:sz w:val="20"/>
                <w:szCs w:val="20"/>
              </w:rPr>
            </w:pPr>
            <w:r w:rsidRPr="00317991">
              <w:rPr>
                <w:rFonts w:ascii="Arial" w:hAnsi="Arial" w:cs="Arial"/>
                <w:b w:val="0"/>
                <w:sz w:val="20"/>
                <w:szCs w:val="20"/>
              </w:rPr>
              <w:t>Students will construct a linear function that models the progression of perimeters in geometric patterns.</w:t>
            </w:r>
          </w:p>
          <w:p w:rsidR="00004D8D" w:rsidRPr="00317991" w:rsidRDefault="00004D8D" w:rsidP="00A33559">
            <w:pPr>
              <w:pStyle w:val="Heading2"/>
              <w:numPr>
                <w:ilvl w:val="0"/>
                <w:numId w:val="15"/>
              </w:numPr>
              <w:outlineLvl w:val="1"/>
              <w:rPr>
                <w:rFonts w:ascii="Arial" w:hAnsi="Arial" w:cs="Arial"/>
                <w:b w:val="0"/>
                <w:sz w:val="20"/>
                <w:szCs w:val="20"/>
              </w:rPr>
            </w:pPr>
            <w:r w:rsidRPr="00317991">
              <w:rPr>
                <w:rFonts w:ascii="Arial" w:hAnsi="Arial" w:cs="Arial"/>
                <w:b w:val="0"/>
                <w:sz w:val="20"/>
                <w:szCs w:val="20"/>
              </w:rPr>
              <w:t>Students will create a model to describe their pattern.</w:t>
            </w:r>
          </w:p>
          <w:p w:rsidR="00004D8D" w:rsidRPr="00317991" w:rsidRDefault="00004D8D" w:rsidP="00A33559">
            <w:pPr>
              <w:pStyle w:val="Heading2"/>
              <w:numPr>
                <w:ilvl w:val="0"/>
                <w:numId w:val="15"/>
              </w:numPr>
              <w:outlineLvl w:val="1"/>
              <w:rPr>
                <w:rFonts w:ascii="Arial" w:hAnsi="Arial" w:cs="Arial"/>
                <w:b w:val="0"/>
                <w:sz w:val="20"/>
                <w:szCs w:val="20"/>
              </w:rPr>
            </w:pPr>
            <w:r w:rsidRPr="00317991">
              <w:rPr>
                <w:rFonts w:ascii="Arial" w:hAnsi="Arial" w:cs="Arial"/>
                <w:b w:val="0"/>
                <w:sz w:val="20"/>
                <w:szCs w:val="20"/>
              </w:rPr>
              <w:t>Students will translate the process for a different pattern of shapes.</w:t>
            </w:r>
          </w:p>
          <w:p w:rsidR="00004D8D" w:rsidRPr="00317991" w:rsidRDefault="00004D8D" w:rsidP="00A33559">
            <w:pPr>
              <w:spacing w:after="200"/>
              <w:rPr>
                <w:rFonts w:ascii="Arial" w:hAnsi="Arial" w:cs="Arial"/>
              </w:rPr>
            </w:pP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t xml:space="preserve">Time Required and Location </w:t>
            </w:r>
          </w:p>
        </w:tc>
        <w:tc>
          <w:tcPr>
            <w:tcW w:w="7500" w:type="dxa"/>
          </w:tcPr>
          <w:p w:rsidR="00004D8D" w:rsidRPr="00317991" w:rsidRDefault="00004D8D" w:rsidP="00A33559">
            <w:pPr>
              <w:spacing w:after="200"/>
              <w:rPr>
                <w:rFonts w:ascii="Arial" w:hAnsi="Arial" w:cs="Arial"/>
              </w:rPr>
            </w:pPr>
            <w:r w:rsidRPr="00317991">
              <w:rPr>
                <w:rFonts w:ascii="Arial" w:hAnsi="Arial" w:cs="Arial"/>
              </w:rPr>
              <w:t>Three 90-minute block periods</w:t>
            </w:r>
            <w:r w:rsidRPr="00317991">
              <w:rPr>
                <w:rFonts w:ascii="Arial" w:hAnsi="Arial" w:cs="Arial"/>
              </w:rPr>
              <w:tab/>
            </w: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t xml:space="preserve">Materials Needed </w:t>
            </w:r>
          </w:p>
        </w:tc>
        <w:tc>
          <w:tcPr>
            <w:tcW w:w="7500" w:type="dxa"/>
          </w:tcPr>
          <w:p w:rsidR="00004D8D" w:rsidRPr="00317991" w:rsidRDefault="00004D8D" w:rsidP="00A33559">
            <w:pPr>
              <w:pStyle w:val="NormalWeb"/>
              <w:rPr>
                <w:rFonts w:ascii="Arial" w:hAnsi="Arial" w:cs="Arial"/>
                <w:sz w:val="20"/>
                <w:szCs w:val="20"/>
              </w:rPr>
            </w:pPr>
            <w:r w:rsidRPr="00317991">
              <w:rPr>
                <w:rFonts w:ascii="Arial" w:hAnsi="Arial" w:cs="Arial"/>
                <w:sz w:val="20"/>
                <w:szCs w:val="20"/>
              </w:rPr>
              <w:t xml:space="preserve">Each group of four students will need </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a set of 8 or more octagon blocks</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chart paper</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markers</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pencil and paper</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exploration handouts (1 per group)</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blank paper</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rulers</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Handouts:</w:t>
            </w:r>
          </w:p>
          <w:p w:rsidR="00004D8D" w:rsidRPr="00317991" w:rsidRDefault="00004D8D" w:rsidP="00A33559">
            <w:pPr>
              <w:pStyle w:val="NormalWeb"/>
              <w:numPr>
                <w:ilvl w:val="1"/>
                <w:numId w:val="13"/>
              </w:numPr>
              <w:rPr>
                <w:rFonts w:ascii="Arial" w:hAnsi="Arial" w:cs="Arial"/>
                <w:sz w:val="20"/>
                <w:szCs w:val="20"/>
              </w:rPr>
            </w:pPr>
            <w:r w:rsidRPr="00317991">
              <w:rPr>
                <w:rFonts w:ascii="Arial" w:hAnsi="Arial" w:cs="Arial"/>
                <w:sz w:val="20"/>
                <w:szCs w:val="20"/>
              </w:rPr>
              <w:t>Dinner Party Activity Sheet</w:t>
            </w:r>
          </w:p>
          <w:p w:rsidR="00004D8D" w:rsidRPr="00317991" w:rsidRDefault="00004D8D" w:rsidP="00A33559">
            <w:pPr>
              <w:pStyle w:val="NormalWeb"/>
              <w:numPr>
                <w:ilvl w:val="1"/>
                <w:numId w:val="13"/>
              </w:numPr>
              <w:rPr>
                <w:rFonts w:ascii="Arial" w:hAnsi="Arial" w:cs="Arial"/>
                <w:sz w:val="20"/>
                <w:szCs w:val="20"/>
              </w:rPr>
            </w:pPr>
            <w:r w:rsidRPr="00317991">
              <w:rPr>
                <w:rFonts w:ascii="Arial" w:hAnsi="Arial" w:cs="Arial"/>
                <w:sz w:val="20"/>
                <w:szCs w:val="20"/>
              </w:rPr>
              <w:t>Dinner Party Activity Sheet for Day 2 (New Shape)</w:t>
            </w:r>
          </w:p>
          <w:p w:rsidR="00004D8D" w:rsidRPr="00317991" w:rsidRDefault="00004D8D" w:rsidP="00A33559">
            <w:pPr>
              <w:pStyle w:val="NormalWeb"/>
              <w:numPr>
                <w:ilvl w:val="1"/>
                <w:numId w:val="13"/>
              </w:numPr>
              <w:rPr>
                <w:rFonts w:ascii="Arial" w:hAnsi="Arial" w:cs="Arial"/>
                <w:sz w:val="20"/>
                <w:szCs w:val="20"/>
              </w:rPr>
            </w:pPr>
            <w:r w:rsidRPr="00317991">
              <w:rPr>
                <w:rFonts w:ascii="Arial" w:hAnsi="Arial" w:cs="Arial"/>
                <w:sz w:val="20"/>
                <w:szCs w:val="20"/>
              </w:rPr>
              <w:t>Dinner Party Assessment Guidelines</w:t>
            </w:r>
          </w:p>
          <w:p w:rsidR="00004D8D" w:rsidRPr="00317991" w:rsidRDefault="00004D8D" w:rsidP="00A33559">
            <w:pPr>
              <w:pStyle w:val="NormalWeb"/>
              <w:numPr>
                <w:ilvl w:val="1"/>
                <w:numId w:val="13"/>
              </w:numPr>
              <w:rPr>
                <w:rFonts w:ascii="Arial" w:hAnsi="Arial" w:cs="Arial"/>
                <w:sz w:val="20"/>
                <w:szCs w:val="20"/>
              </w:rPr>
            </w:pPr>
            <w:r w:rsidRPr="00317991">
              <w:rPr>
                <w:rFonts w:ascii="Arial" w:hAnsi="Arial" w:cs="Arial"/>
                <w:sz w:val="20"/>
                <w:szCs w:val="20"/>
              </w:rPr>
              <w:t>Dinner Party Random List of Numbers</w:t>
            </w:r>
          </w:p>
          <w:p w:rsidR="00004D8D" w:rsidRPr="00317991" w:rsidRDefault="00004D8D" w:rsidP="00A33559">
            <w:pPr>
              <w:pStyle w:val="NormalWeb"/>
              <w:numPr>
                <w:ilvl w:val="1"/>
                <w:numId w:val="13"/>
              </w:numPr>
              <w:rPr>
                <w:rFonts w:ascii="Arial" w:hAnsi="Arial" w:cs="Arial"/>
                <w:sz w:val="20"/>
                <w:szCs w:val="20"/>
              </w:rPr>
            </w:pPr>
            <w:r w:rsidRPr="00317991">
              <w:rPr>
                <w:rFonts w:ascii="Arial" w:hAnsi="Arial" w:cs="Arial"/>
                <w:sz w:val="20"/>
                <w:szCs w:val="20"/>
              </w:rPr>
              <w:t>Four Forms Template</w:t>
            </w:r>
          </w:p>
          <w:p w:rsidR="00004D8D" w:rsidRPr="00317991" w:rsidRDefault="00004D8D" w:rsidP="00A33559">
            <w:pPr>
              <w:pStyle w:val="NormalWeb"/>
              <w:numPr>
                <w:ilvl w:val="1"/>
                <w:numId w:val="13"/>
              </w:numPr>
              <w:rPr>
                <w:rFonts w:ascii="Arial" w:hAnsi="Arial" w:cs="Arial"/>
                <w:sz w:val="20"/>
                <w:szCs w:val="20"/>
              </w:rPr>
            </w:pPr>
            <w:r w:rsidRPr="00317991">
              <w:rPr>
                <w:rFonts w:ascii="Arial" w:hAnsi="Arial" w:cs="Arial"/>
                <w:sz w:val="20"/>
                <w:szCs w:val="20"/>
              </w:rPr>
              <w:t>Functions and Shapes Matching Game</w:t>
            </w:r>
          </w:p>
          <w:p w:rsidR="00004D8D" w:rsidRPr="00317991" w:rsidRDefault="00004D8D" w:rsidP="00A33559">
            <w:pPr>
              <w:pStyle w:val="NormalWeb"/>
              <w:numPr>
                <w:ilvl w:val="1"/>
                <w:numId w:val="13"/>
              </w:numPr>
              <w:rPr>
                <w:rFonts w:ascii="Arial" w:hAnsi="Arial" w:cs="Arial"/>
                <w:sz w:val="20"/>
                <w:szCs w:val="20"/>
              </w:rPr>
            </w:pPr>
            <w:r w:rsidRPr="00317991">
              <w:rPr>
                <w:rFonts w:ascii="Arial" w:hAnsi="Arial" w:cs="Arial"/>
                <w:sz w:val="20"/>
                <w:szCs w:val="20"/>
              </w:rPr>
              <w:t>Same and Different Chart</w:t>
            </w:r>
          </w:p>
          <w:p w:rsidR="00004D8D" w:rsidRPr="00317991" w:rsidRDefault="00004D8D" w:rsidP="00A33559">
            <w:pPr>
              <w:pStyle w:val="NormalWeb"/>
              <w:rPr>
                <w:rFonts w:ascii="Arial" w:hAnsi="Arial" w:cs="Arial"/>
                <w:b/>
                <w:sz w:val="20"/>
                <w:szCs w:val="20"/>
              </w:rPr>
            </w:pPr>
            <w:bookmarkStart w:id="1" w:name="7-0-0"/>
            <w:bookmarkEnd w:id="1"/>
            <w:r w:rsidRPr="00317991">
              <w:rPr>
                <w:rFonts w:ascii="Arial" w:hAnsi="Arial" w:cs="Arial"/>
                <w:b/>
                <w:sz w:val="20"/>
                <w:szCs w:val="20"/>
              </w:rPr>
              <w:t>Technology resources</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 xml:space="preserve">Document Camera (for student demonstration) </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 xml:space="preserve">Overhead projector (to be used if access to a document camera is </w:t>
            </w:r>
            <w:proofErr w:type="spellStart"/>
            <w:r w:rsidRPr="00317991">
              <w:rPr>
                <w:rFonts w:ascii="Arial" w:hAnsi="Arial" w:cs="Arial"/>
                <w:sz w:val="20"/>
                <w:szCs w:val="20"/>
              </w:rPr>
              <w:t>unavaible</w:t>
            </w:r>
            <w:proofErr w:type="spellEnd"/>
            <w:r w:rsidRPr="00317991">
              <w:rPr>
                <w:rFonts w:ascii="Arial" w:hAnsi="Arial" w:cs="Arial"/>
                <w:sz w:val="20"/>
                <w:szCs w:val="20"/>
              </w:rPr>
              <w:t>)</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SMART Board and LCD projector</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Computers with internet access for student journaling (1 computer per group preferable)</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lastRenderedPageBreak/>
              <w:t xml:space="preserve">Computers with internet access to use online software </w:t>
            </w:r>
            <w:proofErr w:type="spellStart"/>
            <w:r w:rsidRPr="00317991">
              <w:rPr>
                <w:rFonts w:ascii="Arial" w:hAnsi="Arial" w:cs="Arial"/>
                <w:sz w:val="20"/>
                <w:szCs w:val="20"/>
              </w:rPr>
              <w:t>Geogebra</w:t>
            </w:r>
            <w:proofErr w:type="spellEnd"/>
            <w:r w:rsidRPr="00317991">
              <w:rPr>
                <w:rFonts w:ascii="Arial" w:hAnsi="Arial" w:cs="Arial"/>
                <w:sz w:val="20"/>
                <w:szCs w:val="20"/>
              </w:rPr>
              <w:t xml:space="preserve"> </w:t>
            </w:r>
          </w:p>
          <w:p w:rsidR="00004D8D" w:rsidRPr="00317991" w:rsidRDefault="00004D8D" w:rsidP="00A33559">
            <w:pPr>
              <w:pStyle w:val="NormalWeb"/>
              <w:numPr>
                <w:ilvl w:val="0"/>
                <w:numId w:val="13"/>
              </w:numPr>
              <w:rPr>
                <w:rFonts w:ascii="Arial" w:hAnsi="Arial" w:cs="Arial"/>
                <w:sz w:val="20"/>
                <w:szCs w:val="20"/>
              </w:rPr>
            </w:pPr>
            <w:proofErr w:type="spellStart"/>
            <w:r w:rsidRPr="00317991">
              <w:rPr>
                <w:rFonts w:ascii="Arial" w:hAnsi="Arial" w:cs="Arial"/>
                <w:sz w:val="20"/>
                <w:szCs w:val="20"/>
              </w:rPr>
              <w:t>Geogebra</w:t>
            </w:r>
            <w:proofErr w:type="spellEnd"/>
            <w:r w:rsidRPr="00317991">
              <w:rPr>
                <w:rFonts w:ascii="Arial" w:hAnsi="Arial" w:cs="Arial"/>
                <w:sz w:val="20"/>
                <w:szCs w:val="20"/>
              </w:rPr>
              <w:t xml:space="preserve"> can be accessed at geogebra.org</w:t>
            </w:r>
          </w:p>
          <w:p w:rsidR="00004D8D" w:rsidRPr="00317991" w:rsidRDefault="00004D8D" w:rsidP="00A33559">
            <w:pPr>
              <w:pStyle w:val="NormalWeb"/>
              <w:numPr>
                <w:ilvl w:val="0"/>
                <w:numId w:val="13"/>
              </w:numPr>
              <w:rPr>
                <w:rFonts w:ascii="Arial" w:hAnsi="Arial" w:cs="Arial"/>
                <w:sz w:val="20"/>
                <w:szCs w:val="20"/>
              </w:rPr>
            </w:pPr>
            <w:r w:rsidRPr="00317991">
              <w:rPr>
                <w:rFonts w:ascii="Arial" w:hAnsi="Arial" w:cs="Arial"/>
                <w:sz w:val="20"/>
                <w:szCs w:val="20"/>
              </w:rPr>
              <w:t xml:space="preserve">Without </w:t>
            </w:r>
            <w:proofErr w:type="spellStart"/>
            <w:r w:rsidRPr="00317991">
              <w:rPr>
                <w:rFonts w:ascii="Arial" w:hAnsi="Arial" w:cs="Arial"/>
                <w:sz w:val="20"/>
                <w:szCs w:val="20"/>
              </w:rPr>
              <w:t>geogebra</w:t>
            </w:r>
            <w:proofErr w:type="spellEnd"/>
            <w:r w:rsidRPr="00317991">
              <w:rPr>
                <w:rFonts w:ascii="Arial" w:hAnsi="Arial" w:cs="Arial"/>
                <w:sz w:val="20"/>
                <w:szCs w:val="20"/>
              </w:rPr>
              <w:t>, students can draw their seating charts by hand with rulers.</w:t>
            </w:r>
          </w:p>
          <w:p w:rsidR="00004D8D" w:rsidRPr="00317991" w:rsidRDefault="00004D8D" w:rsidP="00A33559">
            <w:pPr>
              <w:spacing w:after="200"/>
              <w:ind w:left="1080"/>
              <w:rPr>
                <w:rFonts w:ascii="Arial" w:hAnsi="Arial" w:cs="Arial"/>
              </w:rPr>
            </w:pP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lastRenderedPageBreak/>
              <w:t xml:space="preserve">Safety </w:t>
            </w:r>
          </w:p>
        </w:tc>
        <w:tc>
          <w:tcPr>
            <w:tcW w:w="7500" w:type="dxa"/>
          </w:tcPr>
          <w:p w:rsidR="00004D8D" w:rsidRPr="00317991" w:rsidRDefault="00004D8D" w:rsidP="00A33559">
            <w:pPr>
              <w:spacing w:before="120" w:after="120"/>
              <w:rPr>
                <w:rFonts w:ascii="Arial" w:hAnsi="Arial" w:cs="Arial"/>
              </w:rPr>
            </w:pPr>
            <w:r w:rsidRPr="00317991">
              <w:rPr>
                <w:rFonts w:ascii="Arial" w:eastAsia="Arial" w:hAnsi="Arial" w:cs="Arial"/>
              </w:rPr>
              <w:t>Follow typical classroom safety procedures.</w:t>
            </w: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t xml:space="preserve">Participant Prior Knowledge </w:t>
            </w:r>
          </w:p>
        </w:tc>
        <w:tc>
          <w:tcPr>
            <w:tcW w:w="7500" w:type="dxa"/>
          </w:tcPr>
          <w:p w:rsidR="00004D8D" w:rsidRPr="00317991" w:rsidRDefault="00004D8D" w:rsidP="00A33559">
            <w:pPr>
              <w:pStyle w:val="NormalWeb"/>
              <w:rPr>
                <w:rFonts w:ascii="Arial" w:hAnsi="Arial" w:cs="Arial"/>
                <w:sz w:val="20"/>
                <w:szCs w:val="20"/>
              </w:rPr>
            </w:pPr>
            <w:r w:rsidRPr="00317991">
              <w:rPr>
                <w:rFonts w:ascii="Arial" w:hAnsi="Arial" w:cs="Arial"/>
                <w:sz w:val="20"/>
                <w:szCs w:val="20"/>
              </w:rPr>
              <w:t>Students should have some background knowledge in recognizing and articulating patterns.</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 xml:space="preserve">Students should be able to define perimeter and be able to compute the perimeter of polygons. </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Students should have an understanding of the concept of a variable, and be able to recognize the unknown value in a word problem.</w:t>
            </w:r>
          </w:p>
          <w:p w:rsidR="00004D8D" w:rsidRPr="00317991" w:rsidRDefault="00004D8D" w:rsidP="00A33559">
            <w:pPr>
              <w:pStyle w:val="NormalWeb"/>
              <w:tabs>
                <w:tab w:val="left" w:pos="7230"/>
              </w:tabs>
              <w:rPr>
                <w:rFonts w:ascii="Arial" w:hAnsi="Arial" w:cs="Arial"/>
                <w:sz w:val="20"/>
                <w:szCs w:val="20"/>
              </w:rPr>
            </w:pPr>
            <w:r w:rsidRPr="00317991">
              <w:rPr>
                <w:rFonts w:ascii="Arial" w:hAnsi="Arial" w:cs="Arial"/>
                <w:sz w:val="20"/>
                <w:szCs w:val="20"/>
              </w:rPr>
              <w:t xml:space="preserve">Students should be able to plot ordered pairs on the Cartesian Plane. </w:t>
            </w:r>
            <w:r w:rsidRPr="00317991">
              <w:rPr>
                <w:rFonts w:ascii="Arial" w:hAnsi="Arial" w:cs="Arial"/>
                <w:sz w:val="20"/>
                <w:szCs w:val="20"/>
              </w:rPr>
              <w:tab/>
            </w:r>
          </w:p>
          <w:p w:rsidR="00004D8D" w:rsidRPr="00317991" w:rsidRDefault="00004D8D" w:rsidP="00A33559">
            <w:pPr>
              <w:spacing w:before="120" w:after="120"/>
              <w:rPr>
                <w:rFonts w:ascii="Arial" w:hAnsi="Arial" w:cs="Arial"/>
              </w:rPr>
            </w:pP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t xml:space="preserve">Facilitator Preparations </w:t>
            </w:r>
          </w:p>
        </w:tc>
        <w:tc>
          <w:tcPr>
            <w:tcW w:w="7500" w:type="dxa"/>
          </w:tcPr>
          <w:p w:rsidR="00004D8D" w:rsidRPr="00317991" w:rsidRDefault="00004D8D" w:rsidP="00A33559">
            <w:pPr>
              <w:pStyle w:val="Heading2"/>
              <w:outlineLvl w:val="1"/>
              <w:rPr>
                <w:rFonts w:ascii="Arial" w:hAnsi="Arial" w:cs="Arial"/>
                <w:b w:val="0"/>
                <w:sz w:val="20"/>
                <w:szCs w:val="20"/>
              </w:rPr>
            </w:pPr>
            <w:r w:rsidRPr="00317991">
              <w:rPr>
                <w:rFonts w:ascii="Arial" w:hAnsi="Arial" w:cs="Arial"/>
                <w:b w:val="0"/>
                <w:sz w:val="20"/>
                <w:szCs w:val="20"/>
              </w:rPr>
              <w:t xml:space="preserve">The teacher should prepare the classroom to be set up in groups of 4 students.  There will need to be a set of at least 8 octagon blocks for each table.  If blocks are not accessible, make octagons out of cardstock and have them laminated so that they can be re-used.  Stock each groups table with chart paper and markers.  </w:t>
            </w:r>
          </w:p>
          <w:p w:rsidR="00004D8D" w:rsidRPr="00317991" w:rsidRDefault="00004D8D" w:rsidP="00A33559">
            <w:pPr>
              <w:pStyle w:val="Heading2"/>
              <w:outlineLvl w:val="1"/>
              <w:rPr>
                <w:rFonts w:ascii="Arial" w:hAnsi="Arial" w:cs="Arial"/>
                <w:b w:val="0"/>
                <w:sz w:val="20"/>
                <w:szCs w:val="20"/>
              </w:rPr>
            </w:pPr>
            <w:r w:rsidRPr="00317991">
              <w:rPr>
                <w:rFonts w:ascii="Arial" w:hAnsi="Arial" w:cs="Arial"/>
                <w:b w:val="0"/>
                <w:sz w:val="20"/>
                <w:szCs w:val="20"/>
              </w:rPr>
              <w:t>Teachers must also cut out and mix up the cards for the function matching game.  Placing them in sandwich bags would be the easiest way to distribute and manage.</w:t>
            </w:r>
          </w:p>
          <w:p w:rsidR="00004D8D" w:rsidRPr="00317991" w:rsidRDefault="00004D8D" w:rsidP="00A33559">
            <w:pPr>
              <w:pStyle w:val="Heading2"/>
              <w:outlineLvl w:val="1"/>
              <w:rPr>
                <w:rFonts w:ascii="Arial" w:hAnsi="Arial" w:cs="Arial"/>
                <w:b w:val="0"/>
                <w:sz w:val="20"/>
                <w:szCs w:val="20"/>
              </w:rPr>
            </w:pPr>
            <w:r w:rsidRPr="00317991">
              <w:rPr>
                <w:rFonts w:ascii="Arial" w:hAnsi="Arial" w:cs="Arial"/>
                <w:b w:val="0"/>
                <w:sz w:val="20"/>
                <w:szCs w:val="20"/>
              </w:rPr>
              <w:t>Students will need background knowledge of basic shapes in geometry.  They will only need a superficial understanding of properties of polygons (number of sides).  The student will need some experience in recognizing patterns.  It may be a good idea to look at and discuss some very basic patterns before beginning this lesson.</w:t>
            </w:r>
          </w:p>
          <w:p w:rsidR="00004D8D" w:rsidRPr="00317991" w:rsidRDefault="00004D8D" w:rsidP="00A33559">
            <w:pPr>
              <w:spacing w:after="200"/>
              <w:ind w:left="360"/>
              <w:rPr>
                <w:rFonts w:ascii="Arial" w:hAnsi="Arial" w:cs="Arial"/>
              </w:rPr>
            </w:pP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t xml:space="preserve">Assessment </w:t>
            </w:r>
          </w:p>
        </w:tc>
        <w:tc>
          <w:tcPr>
            <w:tcW w:w="7500" w:type="dxa"/>
          </w:tcPr>
          <w:p w:rsidR="00004D8D" w:rsidRPr="00317991" w:rsidRDefault="00004D8D" w:rsidP="00A33559">
            <w:pPr>
              <w:spacing w:before="100" w:beforeAutospacing="1" w:after="100" w:afterAutospacing="1"/>
              <w:rPr>
                <w:rFonts w:ascii="Arial" w:hAnsi="Arial" w:cs="Arial"/>
              </w:rPr>
            </w:pPr>
            <w:r w:rsidRPr="00317991">
              <w:rPr>
                <w:rFonts w:ascii="Arial" w:hAnsi="Arial" w:cs="Arial"/>
              </w:rPr>
              <w:t>Using the random number list, assign each student a number.  This number will represent the number of guests that the student will host at his or her dinner party.  Refer to the Assessment Guidelines for the assessment instructions.  Students should complete their dinner party plan and the four forms template for their function.</w:t>
            </w:r>
          </w:p>
          <w:p w:rsidR="00004D8D" w:rsidRPr="00317991" w:rsidRDefault="00004D8D" w:rsidP="00A33559">
            <w:pPr>
              <w:spacing w:after="200"/>
              <w:rPr>
                <w:rFonts w:ascii="Arial" w:hAnsi="Arial" w:cs="Arial"/>
              </w:rPr>
            </w:pPr>
          </w:p>
        </w:tc>
      </w:tr>
      <w:tr w:rsidR="00004D8D" w:rsidTr="00004D8D">
        <w:tc>
          <w:tcPr>
            <w:tcW w:w="1850" w:type="dxa"/>
          </w:tcPr>
          <w:p w:rsidR="00004D8D" w:rsidRPr="00317991" w:rsidRDefault="00004D8D" w:rsidP="00A33559">
            <w:pPr>
              <w:spacing w:before="120" w:after="120"/>
              <w:rPr>
                <w:rFonts w:ascii="Arial" w:hAnsi="Arial" w:cs="Arial"/>
              </w:rPr>
            </w:pPr>
            <w:r w:rsidRPr="00317991">
              <w:rPr>
                <w:rFonts w:ascii="Arial" w:eastAsia="Arial" w:hAnsi="Arial" w:cs="Arial"/>
                <w:b/>
              </w:rPr>
              <w:t xml:space="preserve">Critical Vocabulary </w:t>
            </w:r>
          </w:p>
        </w:tc>
        <w:tc>
          <w:tcPr>
            <w:tcW w:w="7500" w:type="dxa"/>
          </w:tcPr>
          <w:p w:rsidR="00004D8D" w:rsidRPr="00317991" w:rsidRDefault="00004D8D" w:rsidP="00A33559">
            <w:pPr>
              <w:pStyle w:val="NormalWeb"/>
              <w:rPr>
                <w:rFonts w:ascii="Arial" w:hAnsi="Arial" w:cs="Arial"/>
                <w:sz w:val="20"/>
                <w:szCs w:val="20"/>
              </w:rPr>
            </w:pPr>
            <w:r w:rsidRPr="00317991">
              <w:rPr>
                <w:rFonts w:ascii="Arial" w:hAnsi="Arial" w:cs="Arial"/>
                <w:sz w:val="20"/>
                <w:szCs w:val="20"/>
              </w:rPr>
              <w:t xml:space="preserve">Variable - </w:t>
            </w:r>
            <w:r w:rsidRPr="00317991">
              <w:rPr>
                <w:rFonts w:ascii="Arial" w:hAnsi="Arial" w:cs="Arial"/>
                <w:color w:val="000000"/>
                <w:sz w:val="20"/>
                <w:szCs w:val="20"/>
                <w:shd w:val="clear" w:color="auto" w:fill="FFFFFF"/>
              </w:rPr>
              <w:t>a letter used to represent a number value in an expression or an equation.</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 xml:space="preserve">Function - </w:t>
            </w:r>
            <w:r w:rsidRPr="00317991">
              <w:rPr>
                <w:rFonts w:ascii="Arial" w:hAnsi="Arial" w:cs="Arial"/>
                <w:color w:val="000088"/>
                <w:sz w:val="20"/>
                <w:szCs w:val="20"/>
                <w:shd w:val="clear" w:color="auto" w:fill="FFFFFF" w:themeFill="background1"/>
              </w:rPr>
              <w:t>a</w:t>
            </w:r>
            <w:r w:rsidRPr="00317991">
              <w:rPr>
                <w:rFonts w:ascii="Arial" w:hAnsi="Arial" w:cs="Arial"/>
                <w:sz w:val="20"/>
                <w:szCs w:val="20"/>
                <w:shd w:val="clear" w:color="auto" w:fill="FFFFFF" w:themeFill="background1"/>
              </w:rPr>
              <w:t xml:space="preserve"> special relationship between values: Each of its input values gives </w:t>
            </w:r>
            <w:r w:rsidRPr="00317991">
              <w:rPr>
                <w:rFonts w:ascii="Arial" w:hAnsi="Arial" w:cs="Arial"/>
                <w:sz w:val="20"/>
                <w:szCs w:val="20"/>
                <w:shd w:val="clear" w:color="auto" w:fill="FFFFFF" w:themeFill="background1"/>
              </w:rPr>
              <w:lastRenderedPageBreak/>
              <w:t>back exactly one output value.</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Linear relationship – a special relationship between values in which the rate of change is constant.</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Rate of change – the speed at which a variable changes over an amount of time.</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 xml:space="preserve">Independent variable – a variable in a relationship whose value determines the value of other variables. </w:t>
            </w:r>
          </w:p>
          <w:p w:rsidR="00004D8D" w:rsidRPr="00317991" w:rsidRDefault="00004D8D" w:rsidP="00A33559">
            <w:pPr>
              <w:pStyle w:val="NormalWeb"/>
              <w:rPr>
                <w:rFonts w:ascii="Arial" w:hAnsi="Arial" w:cs="Arial"/>
                <w:sz w:val="20"/>
                <w:szCs w:val="20"/>
              </w:rPr>
            </w:pPr>
            <w:r w:rsidRPr="00317991">
              <w:rPr>
                <w:rFonts w:ascii="Arial" w:hAnsi="Arial" w:cs="Arial"/>
                <w:sz w:val="20"/>
                <w:szCs w:val="20"/>
              </w:rPr>
              <w:t>Dependent variable – a variable in a relationship whose value is determined by the values assumed by other variables in the relationship.</w:t>
            </w:r>
          </w:p>
          <w:p w:rsidR="00004D8D" w:rsidRPr="00317991" w:rsidRDefault="00004D8D" w:rsidP="00A33559">
            <w:pPr>
              <w:spacing w:after="200"/>
              <w:rPr>
                <w:rFonts w:ascii="Arial" w:hAnsi="Arial" w:cs="Arial"/>
              </w:rPr>
            </w:pPr>
          </w:p>
        </w:tc>
      </w:tr>
      <w:tr w:rsidR="00317991" w:rsidTr="00004D8D">
        <w:tc>
          <w:tcPr>
            <w:tcW w:w="1850" w:type="dxa"/>
          </w:tcPr>
          <w:p w:rsidR="00317991" w:rsidRPr="00317991" w:rsidRDefault="00317991" w:rsidP="00A33559">
            <w:pPr>
              <w:spacing w:before="120" w:after="120"/>
              <w:rPr>
                <w:rFonts w:ascii="Arial" w:hAnsi="Arial" w:cs="Arial"/>
              </w:rPr>
            </w:pPr>
            <w:r w:rsidRPr="00317991">
              <w:rPr>
                <w:rFonts w:ascii="Arial" w:eastAsia="Arial" w:hAnsi="Arial" w:cs="Arial"/>
                <w:b/>
              </w:rPr>
              <w:lastRenderedPageBreak/>
              <w:t xml:space="preserve">Alternative Assessments </w:t>
            </w:r>
          </w:p>
          <w:p w:rsidR="00317991" w:rsidRPr="00317991" w:rsidRDefault="00317991" w:rsidP="00A33559">
            <w:pPr>
              <w:spacing w:before="120" w:after="120"/>
              <w:rPr>
                <w:rFonts w:ascii="Arial" w:hAnsi="Arial" w:cs="Arial"/>
              </w:rPr>
            </w:pPr>
          </w:p>
        </w:tc>
        <w:tc>
          <w:tcPr>
            <w:tcW w:w="7500" w:type="dxa"/>
          </w:tcPr>
          <w:p w:rsidR="00317991" w:rsidRPr="00317991" w:rsidRDefault="00317991" w:rsidP="00A33559">
            <w:pPr>
              <w:numPr>
                <w:ilvl w:val="0"/>
                <w:numId w:val="8"/>
              </w:numPr>
              <w:spacing w:before="100" w:beforeAutospacing="1" w:after="100" w:afterAutospacing="1"/>
              <w:rPr>
                <w:rFonts w:ascii="Arial" w:hAnsi="Arial" w:cs="Arial"/>
              </w:rPr>
            </w:pPr>
            <w:r w:rsidRPr="00317991">
              <w:rPr>
                <w:rFonts w:ascii="Arial" w:hAnsi="Arial" w:cs="Arial"/>
              </w:rPr>
              <w:t xml:space="preserve">If necessary, use the matching game as guided practice instead of independent practice, walking the whole class through the process of choosing which cards are matches.  </w:t>
            </w:r>
          </w:p>
          <w:p w:rsidR="00317991" w:rsidRPr="00317991" w:rsidRDefault="00317991" w:rsidP="00A33559">
            <w:pPr>
              <w:numPr>
                <w:ilvl w:val="0"/>
                <w:numId w:val="8"/>
              </w:numPr>
              <w:spacing w:before="100" w:beforeAutospacing="1" w:after="100" w:afterAutospacing="1"/>
              <w:rPr>
                <w:rFonts w:ascii="Arial" w:hAnsi="Arial" w:cs="Arial"/>
              </w:rPr>
            </w:pPr>
            <w:r w:rsidRPr="00317991">
              <w:rPr>
                <w:rFonts w:ascii="Arial" w:hAnsi="Arial" w:cs="Arial"/>
              </w:rPr>
              <w:t xml:space="preserve">The assessment can be done in class or in the lab to provide extra scaffolding for struggling students.  </w:t>
            </w:r>
          </w:p>
          <w:p w:rsidR="00317991" w:rsidRPr="00317991" w:rsidRDefault="00317991" w:rsidP="00A33559">
            <w:pPr>
              <w:spacing w:before="120" w:after="120"/>
              <w:ind w:left="1080"/>
              <w:rPr>
                <w:rFonts w:ascii="Arial" w:hAnsi="Arial" w:cs="Arial"/>
              </w:rPr>
            </w:pPr>
          </w:p>
        </w:tc>
      </w:tr>
      <w:tr w:rsidR="00317991" w:rsidTr="00317991">
        <w:trPr>
          <w:trHeight w:val="1268"/>
        </w:trPr>
        <w:tc>
          <w:tcPr>
            <w:tcW w:w="1850" w:type="dxa"/>
          </w:tcPr>
          <w:p w:rsidR="00317991" w:rsidRPr="00317991" w:rsidRDefault="00317991" w:rsidP="00A33559">
            <w:pPr>
              <w:spacing w:before="120" w:after="120"/>
              <w:rPr>
                <w:rFonts w:ascii="Arial" w:hAnsi="Arial" w:cs="Arial"/>
              </w:rPr>
            </w:pPr>
            <w:r w:rsidRPr="00317991">
              <w:rPr>
                <w:rFonts w:ascii="Arial" w:eastAsia="Arial" w:hAnsi="Arial" w:cs="Arial"/>
                <w:b/>
              </w:rPr>
              <w:t xml:space="preserve">Supplemental Information </w:t>
            </w:r>
          </w:p>
        </w:tc>
        <w:tc>
          <w:tcPr>
            <w:tcW w:w="7500" w:type="dxa"/>
          </w:tcPr>
          <w:p w:rsidR="00317991" w:rsidRPr="00317991" w:rsidRDefault="00317991" w:rsidP="00A33559">
            <w:pPr>
              <w:pStyle w:val="NormalWeb"/>
              <w:rPr>
                <w:rFonts w:ascii="Arial" w:hAnsi="Arial" w:cs="Arial"/>
                <w:sz w:val="20"/>
                <w:szCs w:val="20"/>
              </w:rPr>
            </w:pPr>
            <w:r w:rsidRPr="00317991">
              <w:rPr>
                <w:rFonts w:ascii="Arial" w:hAnsi="Arial" w:cs="Arial"/>
                <w:sz w:val="20"/>
                <w:szCs w:val="20"/>
              </w:rPr>
              <w:t>SAS Curriculum Pathways Quick Launch #5000 (sascurriculumpathways.com)</w:t>
            </w:r>
          </w:p>
          <w:p w:rsidR="00317991" w:rsidRPr="00317991" w:rsidRDefault="00317991" w:rsidP="00A33559">
            <w:pPr>
              <w:pStyle w:val="NormalWeb"/>
              <w:ind w:left="720"/>
              <w:rPr>
                <w:rFonts w:ascii="Arial" w:hAnsi="Arial" w:cs="Arial"/>
                <w:sz w:val="20"/>
                <w:szCs w:val="20"/>
              </w:rPr>
            </w:pPr>
            <w:r w:rsidRPr="00317991">
              <w:rPr>
                <w:rFonts w:ascii="Arial" w:hAnsi="Arial" w:cs="Arial"/>
                <w:sz w:val="20"/>
                <w:szCs w:val="20"/>
              </w:rPr>
              <w:t xml:space="preserve">This site provides an in-depth lesson on how to calculate rate of change and write a linear function.  It provides many real-world applications to this content, and provides a lot of student practice.  This is a great resource for prerequisite content, or for extra practice in or out of class. </w:t>
            </w:r>
          </w:p>
          <w:p w:rsidR="00317991" w:rsidRPr="00317991" w:rsidRDefault="00317991" w:rsidP="00A33559">
            <w:pPr>
              <w:pStyle w:val="NormalWeb"/>
              <w:rPr>
                <w:rFonts w:ascii="Arial" w:hAnsi="Arial" w:cs="Arial"/>
                <w:sz w:val="20"/>
                <w:szCs w:val="20"/>
              </w:rPr>
            </w:pPr>
            <w:r w:rsidRPr="00317991">
              <w:rPr>
                <w:rFonts w:ascii="Arial" w:hAnsi="Arial" w:cs="Arial"/>
                <w:sz w:val="20"/>
                <w:szCs w:val="20"/>
              </w:rPr>
              <w:t xml:space="preserve">Khan Academy:  </w:t>
            </w:r>
          </w:p>
          <w:p w:rsidR="00317991" w:rsidRPr="00317991" w:rsidRDefault="00317991" w:rsidP="00A33559">
            <w:pPr>
              <w:pStyle w:val="NormalWeb"/>
              <w:numPr>
                <w:ilvl w:val="0"/>
                <w:numId w:val="24"/>
              </w:numPr>
              <w:rPr>
                <w:rFonts w:ascii="Arial" w:hAnsi="Arial" w:cs="Arial"/>
                <w:sz w:val="20"/>
                <w:szCs w:val="20"/>
              </w:rPr>
            </w:pPr>
            <w:r w:rsidRPr="00317991">
              <w:rPr>
                <w:rFonts w:ascii="Arial" w:hAnsi="Arial" w:cs="Arial"/>
                <w:sz w:val="20"/>
                <w:szCs w:val="20"/>
              </w:rPr>
              <w:t>This video demonstrates how to, given a verbal problem, write a linear function.</w:t>
            </w:r>
            <w:r w:rsidRPr="00317991">
              <w:rPr>
                <w:rFonts w:ascii="Arial" w:hAnsi="Arial" w:cs="Arial"/>
                <w:sz w:val="20"/>
                <w:szCs w:val="20"/>
              </w:rPr>
              <w:tab/>
            </w:r>
          </w:p>
          <w:p w:rsidR="00317991" w:rsidRPr="00317991" w:rsidRDefault="00317991" w:rsidP="00A33559">
            <w:pPr>
              <w:pStyle w:val="NormalWeb"/>
              <w:ind w:left="360"/>
              <w:rPr>
                <w:rFonts w:ascii="Arial" w:hAnsi="Arial" w:cs="Arial"/>
                <w:sz w:val="20"/>
                <w:szCs w:val="20"/>
              </w:rPr>
            </w:pPr>
            <w:hyperlink r:id="rId7" w:history="1">
              <w:r w:rsidRPr="00317991">
                <w:rPr>
                  <w:rStyle w:val="Hyperlink"/>
                  <w:rFonts w:ascii="Arial" w:hAnsi="Arial" w:cs="Arial"/>
                  <w:sz w:val="20"/>
                  <w:szCs w:val="20"/>
                </w:rPr>
                <w:t>http://www.khanacademy.org/video/basic-linear-function?playlist=Algebra+I+Worked+Examples</w:t>
              </w:r>
            </w:hyperlink>
          </w:p>
          <w:p w:rsidR="00317991" w:rsidRPr="00317991" w:rsidRDefault="00317991" w:rsidP="00A33559">
            <w:pPr>
              <w:pStyle w:val="NormalWeb"/>
              <w:numPr>
                <w:ilvl w:val="0"/>
                <w:numId w:val="24"/>
              </w:numPr>
              <w:rPr>
                <w:rFonts w:ascii="Arial" w:hAnsi="Arial" w:cs="Arial"/>
                <w:sz w:val="20"/>
                <w:szCs w:val="20"/>
              </w:rPr>
            </w:pPr>
            <w:r w:rsidRPr="00317991">
              <w:rPr>
                <w:rFonts w:ascii="Arial" w:hAnsi="Arial" w:cs="Arial"/>
                <w:sz w:val="20"/>
                <w:szCs w:val="20"/>
              </w:rPr>
              <w:t>This video demonstrates how to recognize if a function is linear.</w:t>
            </w:r>
          </w:p>
          <w:p w:rsidR="00317991" w:rsidRPr="00317991" w:rsidRDefault="00317991" w:rsidP="00A33559">
            <w:pPr>
              <w:pStyle w:val="NormalWeb"/>
              <w:ind w:left="360"/>
              <w:rPr>
                <w:rFonts w:ascii="Arial" w:hAnsi="Arial" w:cs="Arial"/>
                <w:sz w:val="20"/>
                <w:szCs w:val="20"/>
              </w:rPr>
            </w:pPr>
            <w:hyperlink r:id="rId8" w:history="1">
              <w:r w:rsidRPr="00317991">
                <w:rPr>
                  <w:rStyle w:val="Hyperlink"/>
                  <w:rFonts w:ascii="Arial" w:hAnsi="Arial" w:cs="Arial"/>
                  <w:sz w:val="20"/>
                  <w:szCs w:val="20"/>
                </w:rPr>
                <w:t>http://www.khanacademy.org/video/recognizing-linear-functions?playlist=Algebra+I+Worked+Examples</w:t>
              </w:r>
            </w:hyperlink>
          </w:p>
          <w:p w:rsidR="00317991" w:rsidRPr="00317991" w:rsidRDefault="00317991" w:rsidP="00A33559">
            <w:pPr>
              <w:pStyle w:val="NormalWeb"/>
              <w:numPr>
                <w:ilvl w:val="0"/>
                <w:numId w:val="24"/>
              </w:numPr>
              <w:rPr>
                <w:rFonts w:ascii="Arial" w:hAnsi="Arial" w:cs="Arial"/>
                <w:sz w:val="20"/>
                <w:szCs w:val="20"/>
              </w:rPr>
            </w:pPr>
            <w:r w:rsidRPr="00317991">
              <w:rPr>
                <w:rFonts w:ascii="Arial" w:hAnsi="Arial" w:cs="Arial"/>
                <w:sz w:val="20"/>
                <w:szCs w:val="20"/>
              </w:rPr>
              <w:t>This video explores linear relationships, recognizing patterns and writing functions.</w:t>
            </w:r>
          </w:p>
          <w:p w:rsidR="00317991" w:rsidRPr="00317991" w:rsidRDefault="00317991" w:rsidP="00A33559">
            <w:pPr>
              <w:pStyle w:val="NormalWeb"/>
              <w:ind w:left="360"/>
              <w:rPr>
                <w:rFonts w:ascii="Arial" w:hAnsi="Arial" w:cs="Arial"/>
                <w:sz w:val="20"/>
                <w:szCs w:val="20"/>
              </w:rPr>
            </w:pPr>
            <w:hyperlink r:id="rId9" w:history="1">
              <w:r w:rsidRPr="00317991">
                <w:rPr>
                  <w:rStyle w:val="Hyperlink"/>
                  <w:rFonts w:ascii="Arial" w:hAnsi="Arial" w:cs="Arial"/>
                  <w:sz w:val="20"/>
                  <w:szCs w:val="20"/>
                </w:rPr>
                <w:t>http://www.khanacademy.org/video/exploring-linear-relationships?playlist=Algebra+I+Worked+Examples</w:t>
              </w:r>
            </w:hyperlink>
          </w:p>
        </w:tc>
      </w:tr>
      <w:tr w:rsidR="00317991" w:rsidTr="00317991">
        <w:trPr>
          <w:trHeight w:val="1430"/>
        </w:trPr>
        <w:tc>
          <w:tcPr>
            <w:tcW w:w="1850" w:type="dxa"/>
          </w:tcPr>
          <w:p w:rsidR="00317991" w:rsidRPr="00317991" w:rsidRDefault="00317991" w:rsidP="00A33559">
            <w:pPr>
              <w:spacing w:before="120" w:after="120"/>
              <w:rPr>
                <w:rFonts w:ascii="Arial" w:hAnsi="Arial" w:cs="Arial"/>
              </w:rPr>
            </w:pPr>
            <w:r w:rsidRPr="00317991">
              <w:rPr>
                <w:rFonts w:ascii="Arial" w:eastAsia="Arial" w:hAnsi="Arial" w:cs="Arial"/>
                <w:b/>
              </w:rPr>
              <w:lastRenderedPageBreak/>
              <w:t xml:space="preserve">Comments </w:t>
            </w:r>
          </w:p>
          <w:p w:rsidR="00317991" w:rsidRPr="00317991" w:rsidRDefault="00317991" w:rsidP="00A33559">
            <w:pPr>
              <w:spacing w:before="120" w:after="120"/>
              <w:rPr>
                <w:rFonts w:ascii="Arial" w:hAnsi="Arial" w:cs="Arial"/>
              </w:rPr>
            </w:pPr>
          </w:p>
        </w:tc>
        <w:tc>
          <w:tcPr>
            <w:tcW w:w="7500" w:type="dxa"/>
          </w:tcPr>
          <w:p w:rsidR="00317991" w:rsidRPr="00317991" w:rsidRDefault="00317991" w:rsidP="00A33559">
            <w:pPr>
              <w:spacing w:before="100" w:beforeAutospacing="1" w:after="100" w:afterAutospacing="1"/>
              <w:rPr>
                <w:rFonts w:ascii="Arial" w:hAnsi="Arial" w:cs="Arial"/>
              </w:rPr>
            </w:pPr>
            <w:r w:rsidRPr="00317991">
              <w:rPr>
                <w:rFonts w:ascii="Arial" w:hAnsi="Arial" w:cs="Arial"/>
              </w:rPr>
              <w:t xml:space="preserve">The amount of prerequisite knowledge that students need to have depends on the ability level of the course.  I have used this lesson in algebra I and introductory math.  Algebra I students can handle this without any prior talk of linear functions.  In introductory math, we spend several days discussing equations of the form y = </w:t>
            </w:r>
            <w:proofErr w:type="spellStart"/>
            <w:r w:rsidRPr="00317991">
              <w:rPr>
                <w:rFonts w:ascii="Arial" w:hAnsi="Arial" w:cs="Arial"/>
              </w:rPr>
              <w:t>kx</w:t>
            </w:r>
            <w:proofErr w:type="spellEnd"/>
            <w:r w:rsidRPr="00317991">
              <w:rPr>
                <w:rFonts w:ascii="Arial" w:hAnsi="Arial" w:cs="Arial"/>
              </w:rPr>
              <w:t xml:space="preserve"> before completing this lesson.</w:t>
            </w:r>
          </w:p>
        </w:tc>
      </w:tr>
      <w:tr w:rsidR="00317991" w:rsidTr="00317991">
        <w:trPr>
          <w:trHeight w:val="3950"/>
        </w:trPr>
        <w:tc>
          <w:tcPr>
            <w:tcW w:w="1850" w:type="dxa"/>
          </w:tcPr>
          <w:p w:rsidR="00317991" w:rsidRPr="00317991" w:rsidRDefault="00317991" w:rsidP="00A33559">
            <w:pPr>
              <w:spacing w:before="120" w:after="120"/>
              <w:rPr>
                <w:rFonts w:ascii="Arial" w:hAnsi="Arial" w:cs="Arial"/>
              </w:rPr>
            </w:pPr>
            <w:r w:rsidRPr="00317991">
              <w:rPr>
                <w:rFonts w:ascii="Arial" w:eastAsia="Arial" w:hAnsi="Arial" w:cs="Arial"/>
                <w:b/>
              </w:rPr>
              <w:t xml:space="preserve">Author Info </w:t>
            </w:r>
          </w:p>
        </w:tc>
        <w:tc>
          <w:tcPr>
            <w:tcW w:w="7500" w:type="dxa"/>
          </w:tcPr>
          <w:p w:rsidR="00317991" w:rsidRPr="00317991" w:rsidRDefault="00317991" w:rsidP="00A33559">
            <w:pPr>
              <w:pStyle w:val="NormalWeb"/>
              <w:rPr>
                <w:rFonts w:ascii="Arial" w:hAnsi="Arial" w:cs="Arial"/>
                <w:sz w:val="20"/>
                <w:szCs w:val="20"/>
              </w:rPr>
            </w:pPr>
            <w:r w:rsidRPr="00317991">
              <w:rPr>
                <w:rFonts w:ascii="Arial" w:hAnsi="Arial" w:cs="Arial"/>
                <w:sz w:val="20"/>
                <w:szCs w:val="20"/>
              </w:rPr>
              <w:t>Austin James is a math teacher at Millbrook IB Magnet High School in Raleigh, NC.  He has been at Millbrook since 2008.  In addition to teaching algebra and pre – calculus, Austin coaches soccer and baseball for the Wildcats.  He is a 2011 Kenan Fellow, and earned a BS in mathematics education and political science from NC State University and a MA Ed. from Wake Forest University.  He frequently presents at regional and state conferences on teaching mathematics to students with disabilities.</w:t>
            </w:r>
          </w:p>
          <w:p w:rsidR="00317991" w:rsidRPr="00317991" w:rsidRDefault="00317991" w:rsidP="00A33559">
            <w:pPr>
              <w:pStyle w:val="NormalWeb"/>
              <w:rPr>
                <w:rFonts w:ascii="Arial" w:hAnsi="Arial" w:cs="Arial"/>
                <w:sz w:val="20"/>
                <w:szCs w:val="20"/>
              </w:rPr>
            </w:pPr>
            <w:r w:rsidRPr="00317991">
              <w:rPr>
                <w:rFonts w:ascii="Arial" w:hAnsi="Arial" w:cs="Arial"/>
                <w:sz w:val="20"/>
                <w:szCs w:val="20"/>
              </w:rPr>
              <w:t xml:space="preserve">This lesson was designed as part of a Kenan Fellowship geared towards equipping teachers with tools to meet the Common Core standards for 9-12 mathematics.  This plan is designed for low-level algebra students, and emphasizes concrete real world application over rote memorization of procedures.  </w:t>
            </w:r>
          </w:p>
          <w:p w:rsidR="00317991" w:rsidRPr="00317991" w:rsidRDefault="00317991" w:rsidP="00A33559">
            <w:pPr>
              <w:pStyle w:val="NormalWeb"/>
              <w:rPr>
                <w:rFonts w:ascii="Arial" w:hAnsi="Arial" w:cs="Arial"/>
                <w:sz w:val="20"/>
                <w:szCs w:val="20"/>
              </w:rPr>
            </w:pPr>
            <w:r w:rsidRPr="00317991">
              <w:rPr>
                <w:rFonts w:ascii="Arial" w:hAnsi="Arial" w:cs="Arial"/>
                <w:sz w:val="20"/>
                <w:szCs w:val="20"/>
              </w:rPr>
              <w:t>Mentor:  Gregory McKnight, Department of Public Instruction Professional Development Leader</w:t>
            </w:r>
          </w:p>
        </w:tc>
      </w:tr>
    </w:tbl>
    <w:p w:rsidR="00D302B1" w:rsidRDefault="00D302B1" w:rsidP="00317991"/>
    <w:sectPr w:rsidR="00D302B1">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B2" w:rsidRDefault="009030B2">
      <w:pPr>
        <w:spacing w:after="0" w:line="240" w:lineRule="auto"/>
      </w:pPr>
      <w:r>
        <w:separator/>
      </w:r>
    </w:p>
  </w:endnote>
  <w:endnote w:type="continuationSeparator" w:id="0">
    <w:p w:rsidR="009030B2" w:rsidRDefault="0090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B1" w:rsidRDefault="00CC260C">
    <w:pPr>
      <w:tabs>
        <w:tab w:val="center" w:pos="4680"/>
        <w:tab w:val="right" w:pos="9360"/>
      </w:tabs>
      <w:spacing w:after="720" w:line="240" w:lineRule="auto"/>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B2" w:rsidRDefault="009030B2">
      <w:pPr>
        <w:spacing w:after="0" w:line="240" w:lineRule="auto"/>
      </w:pPr>
      <w:r>
        <w:separator/>
      </w:r>
    </w:p>
  </w:footnote>
  <w:footnote w:type="continuationSeparator" w:id="0">
    <w:p w:rsidR="009030B2" w:rsidRDefault="00903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B1" w:rsidRPr="00030ED2" w:rsidRDefault="00141069" w:rsidP="00030ED2">
    <w:pPr>
      <w:spacing w:before="720" w:after="120" w:line="240" w:lineRule="auto"/>
      <w:rPr>
        <w:sz w:val="20"/>
        <w:szCs w:val="20"/>
      </w:rPr>
    </w:pPr>
    <w:r w:rsidRPr="00030ED2">
      <w:rPr>
        <w:rFonts w:ascii="Arial" w:eastAsia="Arial" w:hAnsi="Arial" w:cs="Arial"/>
        <w:sz w:val="20"/>
        <w:szCs w:val="20"/>
      </w:rPr>
      <w:t>Austin James</w:t>
    </w:r>
    <w:r w:rsidR="00030ED2" w:rsidRPr="00030ED2">
      <w:rPr>
        <w:rFonts w:ascii="Arial" w:eastAsia="Arial" w:hAnsi="Arial" w:cs="Arial"/>
        <w:sz w:val="20"/>
        <w:szCs w:val="20"/>
      </w:rPr>
      <w:t>, 2011-12 Kenan Fellow</w:t>
    </w:r>
  </w:p>
  <w:p w:rsidR="00D302B1" w:rsidRDefault="00D302B1">
    <w:pPr>
      <w:tabs>
        <w:tab w:val="center" w:pos="4680"/>
        <w:tab w:val="right" w:pos="9360"/>
      </w:tabs>
      <w:spacing w:after="0" w:line="240" w:lineRule="auto"/>
    </w:pPr>
  </w:p>
  <w:p w:rsidR="00D302B1" w:rsidRDefault="00D302B1">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627"/>
    <w:multiLevelType w:val="multilevel"/>
    <w:tmpl w:val="DE20F1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AB56F04"/>
    <w:multiLevelType w:val="hybridMultilevel"/>
    <w:tmpl w:val="88A0D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8C3788"/>
    <w:multiLevelType w:val="multilevel"/>
    <w:tmpl w:val="222C68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12660348"/>
    <w:multiLevelType w:val="hybridMultilevel"/>
    <w:tmpl w:val="094857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A33ABB"/>
    <w:multiLevelType w:val="multilevel"/>
    <w:tmpl w:val="C85C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B52D9"/>
    <w:multiLevelType w:val="multilevel"/>
    <w:tmpl w:val="0F8A8CC6"/>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abstractNum w:abstractNumId="6" w15:restartNumberingAfterBreak="0">
    <w:nsid w:val="20285FDF"/>
    <w:multiLevelType w:val="multilevel"/>
    <w:tmpl w:val="8DCA01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7436DED"/>
    <w:multiLevelType w:val="multilevel"/>
    <w:tmpl w:val="D1043D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B592922"/>
    <w:multiLevelType w:val="multilevel"/>
    <w:tmpl w:val="6090DA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C004A8F"/>
    <w:multiLevelType w:val="hybridMultilevel"/>
    <w:tmpl w:val="EF02B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F4C29"/>
    <w:multiLevelType w:val="hybridMultilevel"/>
    <w:tmpl w:val="73D8B658"/>
    <w:lvl w:ilvl="0" w:tplc="80BC305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02D9B"/>
    <w:multiLevelType w:val="multilevel"/>
    <w:tmpl w:val="AC54B9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39AD693A"/>
    <w:multiLevelType w:val="multilevel"/>
    <w:tmpl w:val="548AB0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487D1464"/>
    <w:multiLevelType w:val="hybridMultilevel"/>
    <w:tmpl w:val="06EE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40D5"/>
    <w:multiLevelType w:val="hybridMultilevel"/>
    <w:tmpl w:val="D80E3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56AC9"/>
    <w:multiLevelType w:val="multilevel"/>
    <w:tmpl w:val="BFF21F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55A61389"/>
    <w:multiLevelType w:val="multilevel"/>
    <w:tmpl w:val="1F8A6E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5B0D4450"/>
    <w:multiLevelType w:val="hybridMultilevel"/>
    <w:tmpl w:val="726869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E3516E"/>
    <w:multiLevelType w:val="multilevel"/>
    <w:tmpl w:val="7B0270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3422B17"/>
    <w:multiLevelType w:val="multilevel"/>
    <w:tmpl w:val="B92E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5503E"/>
    <w:multiLevelType w:val="multilevel"/>
    <w:tmpl w:val="2D8CA8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69F41097"/>
    <w:multiLevelType w:val="multilevel"/>
    <w:tmpl w:val="537AF7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70401ED8"/>
    <w:multiLevelType w:val="multilevel"/>
    <w:tmpl w:val="F8E04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991125D"/>
    <w:multiLevelType w:val="multilevel"/>
    <w:tmpl w:val="67548D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1"/>
  </w:num>
  <w:num w:numId="2">
    <w:abstractNumId w:val="2"/>
  </w:num>
  <w:num w:numId="3">
    <w:abstractNumId w:val="6"/>
  </w:num>
  <w:num w:numId="4">
    <w:abstractNumId w:val="23"/>
  </w:num>
  <w:num w:numId="5">
    <w:abstractNumId w:val="20"/>
  </w:num>
  <w:num w:numId="6">
    <w:abstractNumId w:val="21"/>
  </w:num>
  <w:num w:numId="7">
    <w:abstractNumId w:val="16"/>
  </w:num>
  <w:num w:numId="8">
    <w:abstractNumId w:val="5"/>
  </w:num>
  <w:num w:numId="9">
    <w:abstractNumId w:val="0"/>
  </w:num>
  <w:num w:numId="10">
    <w:abstractNumId w:val="18"/>
  </w:num>
  <w:num w:numId="11">
    <w:abstractNumId w:val="12"/>
  </w:num>
  <w:num w:numId="12">
    <w:abstractNumId w:val="15"/>
  </w:num>
  <w:num w:numId="13">
    <w:abstractNumId w:val="7"/>
  </w:num>
  <w:num w:numId="14">
    <w:abstractNumId w:val="8"/>
  </w:num>
  <w:num w:numId="15">
    <w:abstractNumId w:val="1"/>
  </w:num>
  <w:num w:numId="16">
    <w:abstractNumId w:val="22"/>
  </w:num>
  <w:num w:numId="17">
    <w:abstractNumId w:val="19"/>
  </w:num>
  <w:num w:numId="18">
    <w:abstractNumId w:val="10"/>
  </w:num>
  <w:num w:numId="19">
    <w:abstractNumId w:val="9"/>
  </w:num>
  <w:num w:numId="20">
    <w:abstractNumId w:val="17"/>
  </w:num>
  <w:num w:numId="21">
    <w:abstractNumId w:val="13"/>
  </w:num>
  <w:num w:numId="22">
    <w:abstractNumId w:val="3"/>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02B1"/>
    <w:rsid w:val="00004D8D"/>
    <w:rsid w:val="00030ED2"/>
    <w:rsid w:val="00141069"/>
    <w:rsid w:val="002A2F5D"/>
    <w:rsid w:val="00317991"/>
    <w:rsid w:val="009030B2"/>
    <w:rsid w:val="00A33559"/>
    <w:rsid w:val="00B13664"/>
    <w:rsid w:val="00CC260C"/>
    <w:rsid w:val="00D3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53ACE-4D7A-4037-826B-62B6BB3A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4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69"/>
  </w:style>
  <w:style w:type="paragraph" w:styleId="Footer">
    <w:name w:val="footer"/>
    <w:basedOn w:val="Normal"/>
    <w:link w:val="FooterChar"/>
    <w:uiPriority w:val="99"/>
    <w:unhideWhenUsed/>
    <w:rsid w:val="0014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69"/>
  </w:style>
  <w:style w:type="paragraph" w:styleId="NormalWeb">
    <w:name w:val="Normal (Web)"/>
    <w:basedOn w:val="Normal"/>
    <w:uiPriority w:val="99"/>
    <w:rsid w:val="001410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41069"/>
    <w:rPr>
      <w:b/>
      <w:bCs/>
    </w:rPr>
  </w:style>
  <w:style w:type="character" w:customStyle="1" w:styleId="apple-converted-space">
    <w:name w:val="apple-converted-space"/>
    <w:basedOn w:val="DefaultParagraphFont"/>
    <w:rsid w:val="00141069"/>
  </w:style>
  <w:style w:type="character" w:styleId="Hyperlink">
    <w:name w:val="Hyperlink"/>
    <w:basedOn w:val="DefaultParagraphFont"/>
    <w:rsid w:val="002A2F5D"/>
    <w:rPr>
      <w:color w:val="0000FF"/>
      <w:u w:val="single"/>
    </w:rPr>
  </w:style>
  <w:style w:type="paragraph" w:styleId="ListParagraph">
    <w:name w:val="List Paragraph"/>
    <w:basedOn w:val="Normal"/>
    <w:uiPriority w:val="34"/>
    <w:qFormat/>
    <w:rsid w:val="002A2F5D"/>
    <w:pPr>
      <w:spacing w:after="0"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2A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5D"/>
    <w:rPr>
      <w:rFonts w:ascii="Tahoma" w:hAnsi="Tahoma" w:cs="Tahoma"/>
      <w:sz w:val="16"/>
      <w:szCs w:val="16"/>
    </w:rPr>
  </w:style>
  <w:style w:type="character" w:styleId="Emphasis">
    <w:name w:val="Emphasis"/>
    <w:basedOn w:val="DefaultParagraphFont"/>
    <w:qFormat/>
    <w:rsid w:val="002A2F5D"/>
    <w:rPr>
      <w:i/>
      <w:iCs/>
    </w:rPr>
  </w:style>
  <w:style w:type="character" w:styleId="FollowedHyperlink">
    <w:name w:val="FollowedHyperlink"/>
    <w:basedOn w:val="DefaultParagraphFont"/>
    <w:uiPriority w:val="99"/>
    <w:semiHidden/>
    <w:unhideWhenUsed/>
    <w:rsid w:val="002A2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hanacademy.org/video/recognizing-linear-functions?playlist=Algebra+I+Worked+Examp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hanacademy.org/video/basic-linear-function?playlist=Algebra+I+Worked+Exam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hanacademy.org/video/exploring-linear-relationships?playlist=Algebra+I+Worked+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6</cp:revision>
  <dcterms:created xsi:type="dcterms:W3CDTF">2016-08-03T15:05:00Z</dcterms:created>
  <dcterms:modified xsi:type="dcterms:W3CDTF">2016-08-04T18:09:00Z</dcterms:modified>
</cp:coreProperties>
</file>